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40"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„Automated Guided Vehicles“, kurz AGVs, werden zunehmend auch für den Karosseriebau interessant. Das Maschinenbauunternehmen Tünkers bietet aktuell verschiedene Automationslösungen an. Neben Versorgungs-AGVs zum Transport der Teile zwischen Bestands- und Produktionslinie, Transport-AGVs zum sicheren Transport von Teilen, installieren die Tünkers-Ingenieure auch nach Kundenanforderungen Prozesslinien-AGVs zur sicheren Bearbeitung und Montage direkt auf dem AGV. </w:t>
      </w:r>
    </w:p>
    <w:sectPr>
      <w:headerReference r:id="rId6" w:type="default"/>
      <w:pgSz w:h="16838" w:w="11906"/>
      <w:pgMar w:bottom="1134" w:top="2458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708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  <w:rtl w:val="0"/>
      </w:rPr>
      <w:t xml:space="preserve">PRESSEMITTEILUNG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4453890</wp:posOffset>
          </wp:positionH>
          <wp:positionV relativeFrom="paragraph">
            <wp:posOffset>113029</wp:posOffset>
          </wp:positionV>
          <wp:extent cx="1946910" cy="462915"/>
          <wp:effectExtent b="0" l="0" r="0" t="0"/>
          <wp:wrapNone/>
          <wp:docPr descr="TUÌˆNKERS-Logo-dtsch-cmyk-01" id="1" name="image2.png"/>
          <a:graphic>
            <a:graphicData uri="http://schemas.openxmlformats.org/drawingml/2006/picture">
              <pic:pic>
                <pic:nvPicPr>
                  <pic:cNvPr descr="TUÌˆNKERS-Logo-dtsch-cmyk-01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46910" cy="4629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-63499</wp:posOffset>
              </wp:positionH>
              <wp:positionV relativeFrom="paragraph">
                <wp:posOffset>190500</wp:posOffset>
              </wp:positionV>
              <wp:extent cx="2311400" cy="2667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94745" y="3646650"/>
                        <a:ext cx="2302510" cy="266700"/>
                      </a:xfrm>
                      <a:custGeom>
                        <a:pathLst>
                          <a:path extrusionOk="0" h="266700" w="2302510">
                            <a:moveTo>
                              <a:pt x="0" y="0"/>
                            </a:moveTo>
                            <a:lnTo>
                              <a:pt x="0" y="266700"/>
                            </a:lnTo>
                            <a:lnTo>
                              <a:pt x="2302510" y="266700"/>
                            </a:lnTo>
                            <a:lnTo>
                              <a:pt x="230251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PRESSEMITTEILUNG</w:t>
                          </w:r>
                        </w:p>
                      </w:txbxContent>
                    </wps:txbx>
                    <wps:bodyPr anchorCtr="0" anchor="t" bIns="0" lIns="114300" spcFirstLastPara="1" rIns="114300" wrap="square" tIns="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-63499</wp:posOffset>
              </wp:positionH>
              <wp:positionV relativeFrom="paragraph">
                <wp:posOffset>190500</wp:posOffset>
              </wp:positionV>
              <wp:extent cx="2311400" cy="2667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11400" cy="266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de-D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