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jc w:val="both"/>
        <w:rPr>
          <w:sz w:val="28"/>
          <w:szCs w:val="28"/>
        </w:rPr>
      </w:pPr>
      <w:r w:rsidDel="00000000" w:rsidR="00000000" w:rsidRPr="00000000">
        <w:rPr>
          <w:sz w:val="28"/>
          <w:szCs w:val="28"/>
          <w:rtl w:val="0"/>
        </w:rPr>
        <w:t xml:space="preserve">Fördern im XXL-Format</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Ratingen, Januar 2016.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Stauförderer werden im Normalfall für die Beladestation oder die Verkettung einzelner Roboterzellen genutzt. Typische Längen sind deshalb 10 m bis 15 m. Bei längeren Transportstrecken kommen üblicherweise Systeme wie Elektrohängebahnen zum Einsatz.</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Stauförderer der AFS Baureihe vom Maschinenbauspezialisten TÜNKERS können deutlich mehr.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Grund hierfür ist der modulare Aufbau, bei dem einzelne Teilstrecken von ca. 20 m gekoppelt werden können. Theoretisch sind damit auch Transportlängen von über 100 m realisierbar. In jeder Zone sind unterschiedliche Geschwindigkeiten möglich, so dass z. B. im mittleren Segment große Strecken in kurzer Zeit überwunden werden können.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Vorteile der Standard-Stauförderer bleiben auch bei der XXL-Fassung erhalten. Sie zeichnen sich durch geringen Platzbedarf, leichte Wartung, maximale Entkopplung und zu guter Letzt überschaubare Kosten aus.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einem englischen Automobilwerk ist aktuell ein fast 72 m langes AFS Doppelband von TÜNKERS zum Transport großer Karosserieteile mit beachtlichen 4200 x 1300 x 600 cm erfolgreich im Einsatz. Im Rahmen der individuellen Anpassung haben die Konstrukteure aus Ratingen die folgenden Anforderungen erfolgreich erfüllt:</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Zum Transport von Seitenteilen von der Untergruppenfertigung zum Framer muss eine Entfernung von 71,3 m überwunden werden</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Transport muss hängend im Stahlbau erfolgen</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maximale Entkopplung der Zellen muss sichergestellt werden</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und Entladung durch Roboter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Geringe Sicherheitstechnik</w:t>
      </w:r>
    </w:p>
    <w:p w:rsidR="00000000" w:rsidDel="00000000" w:rsidP="00000000" w:rsidRDefault="00000000" w:rsidRPr="00000000" w14:paraId="0000000B">
      <w:pPr>
        <w:spacing w:after="240" w:lineRule="auto"/>
        <w:contextualSpacing w:val="0"/>
        <w:jc w:val="both"/>
        <w:rPr>
          <w:color w:val="000000"/>
          <w:sz w:val="22"/>
          <w:szCs w:val="22"/>
        </w:rPr>
      </w:pPr>
      <w:r w:rsidDel="00000000" w:rsidR="00000000" w:rsidRPr="00000000">
        <w:rPr>
          <w:rtl w:val="0"/>
        </w:rPr>
      </w:r>
    </w:p>
    <w:p w:rsidR="00000000" w:rsidDel="00000000" w:rsidP="00000000" w:rsidRDefault="00000000" w:rsidRPr="00000000" w14:paraId="0000000C">
      <w:pPr>
        <w:contextualSpacing w:val="0"/>
        <w:jc w:val="both"/>
        <w:rPr>
          <w:color w:val="000000"/>
          <w:sz w:val="22"/>
          <w:szCs w:val="22"/>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Bildmaterial: </w:t>
        <w:tab/>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13">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4">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5">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6">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17">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Kai Mönkediek</w:t>
      </w:r>
    </w:p>
    <w:p w:rsidR="00000000" w:rsidDel="00000000" w:rsidP="00000000" w:rsidRDefault="00000000" w:rsidRPr="00000000" w14:paraId="00000018">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19">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02102 / 45 17-0</w:t>
      </w:r>
    </w:p>
    <w:p w:rsidR="00000000" w:rsidDel="00000000" w:rsidP="00000000" w:rsidRDefault="00000000" w:rsidRPr="00000000" w14:paraId="0000001A">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kai.moenkediek@tuenkers.de</w:t>
      </w:r>
    </w:p>
    <w:p w:rsidR="00000000" w:rsidDel="00000000" w:rsidP="00000000" w:rsidRDefault="00000000" w:rsidRPr="00000000" w14:paraId="0000001B">
      <w:pPr>
        <w:contextualSpacing w:val="0"/>
        <w:jc w:val="both"/>
        <w:rPr>
          <w:sz w:val="22"/>
          <w:szCs w:val="22"/>
        </w:rPr>
      </w:pPr>
      <w:hyperlink r:id="rId6">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sectPr>
      <w:headerReference r:id="rId7"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Beschreibung: TUÌˆNKERS-Logo-dtsch-cmyk-01" id="1" name="image2.png"/>
          <a:graphic>
            <a:graphicData uri="http://schemas.openxmlformats.org/drawingml/2006/picture">
              <pic:pic>
                <pic:nvPicPr>
                  <pic:cNvPr descr="Beschreibung: 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110" y="3646650"/>
                        <a:ext cx="2303780" cy="266700"/>
                      </a:xfrm>
                      <a:custGeom>
                        <a:pathLst>
                          <a:path extrusionOk="0" h="266700" w="2303780">
                            <a:moveTo>
                              <a:pt x="0" y="0"/>
                            </a:moveTo>
                            <a:lnTo>
                              <a:pt x="0" y="266700"/>
                            </a:lnTo>
                            <a:lnTo>
                              <a:pt x="2303780" y="266700"/>
                            </a:lnTo>
                            <a:lnTo>
                              <a:pt x="230378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h-ag.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