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Keine Angst vor schweren Lasten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Lorsch, Mai 2017.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Der Industrieroboter hat sich für den Transport und die Positionierung von Bauteilen und auch Vorrichtungen in der Rohbauautomation als Standard durchgesetzt. Dies gilt umso mehr, als dass mit der neuen Robotergeneration erstmals Bereiche von 1.000 kg Gesamtgewicht bewegt werden können.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Aber selbst mit diesen Leistungsmerkmalen stoßen Schwerlastroboter bei vielen Anwendungen an ihre Grenzen oder sind schlicht weg nicht wirtschaftlich.</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Wenn Größe und Gewicht des zu bewegenden Teils die Standardmaße überschreiten kommen die Schwerlastachsen, wie Drehtisch und Hubeinheiten, vom Maschinenbauspezialisten EXPERT-TÜNKERS zum Einsatz. Die bewährten Systeme sind aktuell von den Ingenieuren in Lorsch überarbeitet worden. Neu ist, dass diese nun auch flexibel in verschiedenen Achsen kombinierbar sind und damit quasi die Funktion eines „Schwerlastroboters“ übernehmen können.</w:t>
      </w:r>
    </w:p>
    <w:p w:rsidR="00000000" w:rsidDel="00000000" w:rsidP="00000000" w:rsidRDefault="00000000" w:rsidRPr="00000000" w14:paraId="00000004">
      <w:pPr>
        <w:spacing w:after="240" w:line="360" w:lineRule="auto"/>
        <w:contextualSpacing w:val="0"/>
        <w:rPr>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1843"/>
        </w:tabs>
        <w:spacing w:after="240" w:lineRule="auto"/>
        <w:contextualSpacing w:val="0"/>
        <w:rPr>
          <w:b w:val="1"/>
          <w:sz w:val="18"/>
          <w:szCs w:val="18"/>
        </w:rPr>
      </w:pPr>
      <w:r w:rsidDel="00000000" w:rsidR="00000000" w:rsidRPr="00000000">
        <w:rPr>
          <w:rtl w:val="0"/>
        </w:rPr>
      </w:r>
    </w:p>
    <w:p w:rsidR="00000000" w:rsidDel="00000000" w:rsidP="00000000" w:rsidRDefault="00000000" w:rsidRPr="00000000" w14:paraId="00000007">
      <w:pPr>
        <w:tabs>
          <w:tab w:val="left" w:pos="1843"/>
        </w:tabs>
        <w:spacing w:after="240" w:lineRule="auto"/>
        <w:contextualSpacing w:val="0"/>
        <w:rPr>
          <w:sz w:val="18"/>
          <w:szCs w:val="18"/>
        </w:rPr>
      </w:pPr>
      <w:r w:rsidDel="00000000" w:rsidR="00000000" w:rsidRPr="00000000">
        <w:rPr>
          <w:b w:val="1"/>
          <w:sz w:val="18"/>
          <w:szCs w:val="18"/>
          <w:rtl w:val="0"/>
        </w:rPr>
        <w:t xml:space="preserve">Bildmaterial: </w:t>
        <w:tab/>
      </w:r>
      <w:r w:rsidDel="00000000" w:rsidR="00000000" w:rsidRPr="00000000">
        <w:rPr>
          <w:sz w:val="18"/>
          <w:szCs w:val="18"/>
          <w:rtl w:val="0"/>
        </w:rPr>
        <w:t xml:space="preserve">HDE_1.jpg, vlcsnap-0023.jpg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A">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B">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Frank Giebenhain</w:t>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EXPERT-TÜNKERS GmbH</w:t>
      </w:r>
    </w:p>
    <w:p w:rsidR="00000000" w:rsidDel="00000000" w:rsidP="00000000" w:rsidRDefault="00000000" w:rsidRPr="00000000" w14:paraId="00000011">
      <w:pPr>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 +49 / (0) 6251 592-0</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fgiebenhain@expert-tuenkers.de</w:t>
      </w:r>
    </w:p>
    <w:p w:rsidR="00000000" w:rsidDel="00000000" w:rsidP="00000000" w:rsidRDefault="00000000" w:rsidRPr="00000000" w14:paraId="00000013">
      <w:pPr>
        <w:contextualSpacing w:val="0"/>
        <w:jc w:val="both"/>
        <w:rPr/>
      </w:pPr>
      <w:hyperlink r:id="rId6">
        <w:r w:rsidDel="00000000" w:rsidR="00000000" w:rsidRPr="00000000">
          <w:rPr>
            <w:rFonts w:ascii="Calibri" w:cs="Calibri" w:eastAsia="Calibri" w:hAnsi="Calibri"/>
            <w:color w:val="0000ff"/>
            <w:sz w:val="18"/>
            <w:szCs w:val="18"/>
            <w:u w:val="single"/>
            <w:rtl w:val="0"/>
          </w:rPr>
          <w:t xml:space="preserve">www.expert-tuenkers.de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xpert-tuenkers.d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