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480" w:lineRule="auto"/>
        <w:contextualSpacing w:val="0"/>
        <w:rPr>
          <w:sz w:val="28"/>
          <w:szCs w:val="28"/>
        </w:rPr>
      </w:pPr>
      <w:r w:rsidDel="00000000" w:rsidR="00000000" w:rsidRPr="00000000">
        <w:rPr>
          <w:sz w:val="28"/>
          <w:szCs w:val="28"/>
          <w:rtl w:val="0"/>
        </w:rPr>
        <w:t xml:space="preserve">Zahnriemen besser als Kette</w:t>
      </w:r>
    </w:p>
    <w:p w:rsidR="00000000" w:rsidDel="00000000" w:rsidP="00000000" w:rsidRDefault="00000000" w:rsidRPr="00000000" w14:paraId="00000001">
      <w:pPr>
        <w:spacing w:after="120" w:line="360" w:lineRule="auto"/>
        <w:contextualSpacing w:val="0"/>
        <w:rPr>
          <w:sz w:val="20"/>
          <w:szCs w:val="20"/>
        </w:rPr>
      </w:pPr>
      <w:r w:rsidDel="00000000" w:rsidR="00000000" w:rsidRPr="00000000">
        <w:rPr>
          <w:i w:val="1"/>
          <w:sz w:val="20"/>
          <w:szCs w:val="20"/>
          <w:rtl w:val="0"/>
        </w:rPr>
        <w:t xml:space="preserve">Ratingen, Oktober 2017.</w:t>
      </w:r>
      <w:r w:rsidDel="00000000" w:rsidR="00000000" w:rsidRPr="00000000">
        <w:rPr>
          <w:sz w:val="20"/>
          <w:szCs w:val="20"/>
          <w:rtl w:val="0"/>
        </w:rPr>
        <w:t xml:space="preserve"> Das Herzstück der AFS-Stauförderer ist die Zentralkette, die sich als einfaches und robustes Element in mehr als 5000 Anwendungen im Karosserierohbau bewährt hat. Der Kettenantrieb ist jedoch nicht wartungsfrei, bedingt durch Kettenlängung und dem Bedarf an Schmierung.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120" w:before="10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neue AFSG-APM-Stauförderer des Maschinenbauspezialisten Tünkers verfügt nun über einen Zahnriemenantrieb. Dieser zeichnet sich dadurch aus, dass er wartungsfrei, geräuscharm und weitgehend kompatibel zur bewährten AFS-Technik ist.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In der unverändert robusten Grundkonstruktion wird einfach die Kette durch einen Zahnriemen ersetzt. Die Verzahnung des Riemens wird wie bei dem Kettenförderer für die Friktionskupplung verwendet. Montage und Wechseln des Riemens sind deutlich vereinfacht, da keine aufwendige Demontage der Maschine mehr notwendig ist. Die Standzeit des Riemens ist dabei identisch zur Kettenausführung</w:t>
      </w:r>
    </w:p>
    <w:p w:rsidR="00000000" w:rsidDel="00000000" w:rsidP="00000000" w:rsidRDefault="00000000" w:rsidRPr="00000000" w14:paraId="00000004">
      <w:pPr>
        <w:spacing w:after="120" w:line="360" w:lineRule="auto"/>
        <w:contextualSpacing w:val="0"/>
        <w:rPr>
          <w:sz w:val="20"/>
          <w:szCs w:val="20"/>
        </w:rPr>
      </w:pPr>
      <w:r w:rsidDel="00000000" w:rsidR="00000000" w:rsidRPr="00000000">
        <w:rPr>
          <w:rtl w:val="0"/>
        </w:rPr>
      </w:r>
    </w:p>
    <w:p w:rsidR="00000000" w:rsidDel="00000000" w:rsidP="00000000" w:rsidRDefault="00000000" w:rsidRPr="00000000" w14:paraId="00000005">
      <w:pPr>
        <w:spacing w:after="120" w:line="360" w:lineRule="auto"/>
        <w:contextualSpacing w:val="0"/>
        <w:rPr>
          <w:sz w:val="20"/>
          <w:szCs w:val="20"/>
        </w:rPr>
      </w:pPr>
      <w:r w:rsidDel="00000000" w:rsidR="00000000" w:rsidRPr="00000000">
        <w:rPr>
          <w:sz w:val="20"/>
          <w:szCs w:val="20"/>
          <w:rtl w:val="0"/>
        </w:rPr>
        <w:t xml:space="preserve">Die Vorteile des neuen Riemenantriebs lassen sich wie folgt zusammenfassen:</w:t>
      </w:r>
    </w:p>
    <w:p w:rsidR="00000000" w:rsidDel="00000000" w:rsidP="00000000" w:rsidRDefault="00000000" w:rsidRPr="00000000" w14:paraId="00000006">
      <w:pPr>
        <w:spacing w:after="120" w:line="360" w:lineRule="auto"/>
        <w:contextualSpacing w:val="0"/>
        <w:rPr>
          <w:sz w:val="20"/>
          <w:szCs w:val="20"/>
        </w:rPr>
      </w:pPr>
      <w:r w:rsidDel="00000000" w:rsidR="00000000" w:rsidRPr="00000000">
        <w:rPr>
          <w:sz w:val="20"/>
          <w:szCs w:val="20"/>
          <w:rtl w:val="0"/>
        </w:rPr>
        <w:t xml:space="preserve">• Keine Kettenlängung</w:t>
      </w:r>
    </w:p>
    <w:p w:rsidR="00000000" w:rsidDel="00000000" w:rsidP="00000000" w:rsidRDefault="00000000" w:rsidRPr="00000000" w14:paraId="00000007">
      <w:pPr>
        <w:spacing w:after="120" w:line="360" w:lineRule="auto"/>
        <w:contextualSpacing w:val="0"/>
        <w:rPr>
          <w:sz w:val="20"/>
          <w:szCs w:val="20"/>
        </w:rPr>
      </w:pPr>
      <w:r w:rsidDel="00000000" w:rsidR="00000000" w:rsidRPr="00000000">
        <w:rPr>
          <w:sz w:val="20"/>
          <w:szCs w:val="20"/>
          <w:rtl w:val="0"/>
        </w:rPr>
        <w:t xml:space="preserve">• Kettenspanner entfällt</w:t>
      </w:r>
    </w:p>
    <w:p w:rsidR="00000000" w:rsidDel="00000000" w:rsidP="00000000" w:rsidRDefault="00000000" w:rsidRPr="00000000" w14:paraId="00000008">
      <w:pPr>
        <w:spacing w:after="120" w:line="360" w:lineRule="auto"/>
        <w:contextualSpacing w:val="0"/>
        <w:rPr>
          <w:sz w:val="20"/>
          <w:szCs w:val="20"/>
        </w:rPr>
      </w:pPr>
      <w:r w:rsidDel="00000000" w:rsidR="00000000" w:rsidRPr="00000000">
        <w:rPr>
          <w:sz w:val="20"/>
          <w:szCs w:val="20"/>
          <w:rtl w:val="0"/>
        </w:rPr>
        <w:t xml:space="preserve">• Weniger Programmieraufwand – Kettenüberwachung entfällt</w:t>
      </w:r>
    </w:p>
    <w:p w:rsidR="00000000" w:rsidDel="00000000" w:rsidP="00000000" w:rsidRDefault="00000000" w:rsidRPr="00000000" w14:paraId="00000009">
      <w:pPr>
        <w:spacing w:after="120" w:line="360" w:lineRule="auto"/>
        <w:contextualSpacing w:val="0"/>
        <w:rPr>
          <w:sz w:val="20"/>
          <w:szCs w:val="20"/>
        </w:rPr>
      </w:pPr>
      <w:r w:rsidDel="00000000" w:rsidR="00000000" w:rsidRPr="00000000">
        <w:rPr>
          <w:sz w:val="20"/>
          <w:szCs w:val="20"/>
          <w:rtl w:val="0"/>
        </w:rPr>
        <w:t xml:space="preserve">• Höhere Werkersicherheit</w:t>
      </w:r>
    </w:p>
    <w:p w:rsidR="00000000" w:rsidDel="00000000" w:rsidP="00000000" w:rsidRDefault="00000000" w:rsidRPr="00000000" w14:paraId="0000000A">
      <w:pPr>
        <w:spacing w:after="120" w:line="360" w:lineRule="auto"/>
        <w:contextualSpacing w:val="0"/>
        <w:rPr>
          <w:sz w:val="20"/>
          <w:szCs w:val="20"/>
        </w:rPr>
      </w:pPr>
      <w:r w:rsidDel="00000000" w:rsidR="00000000" w:rsidRPr="00000000">
        <w:rPr>
          <w:sz w:val="20"/>
          <w:szCs w:val="20"/>
          <w:rtl w:val="0"/>
        </w:rPr>
        <w:t xml:space="preserve">• Minimierung der Instandhaltungsarbeiten</w:t>
      </w:r>
    </w:p>
    <w:p w:rsidR="00000000" w:rsidDel="00000000" w:rsidP="00000000" w:rsidRDefault="00000000" w:rsidRPr="00000000" w14:paraId="0000000B">
      <w:pPr>
        <w:spacing w:after="120" w:line="360" w:lineRule="auto"/>
        <w:contextualSpacing w:val="0"/>
        <w:rPr>
          <w:sz w:val="20"/>
          <w:szCs w:val="20"/>
        </w:rPr>
      </w:pPr>
      <w:r w:rsidDel="00000000" w:rsidR="00000000" w:rsidRPr="00000000">
        <w:rPr>
          <w:sz w:val="20"/>
          <w:szCs w:val="20"/>
          <w:rtl w:val="0"/>
        </w:rPr>
        <w:t xml:space="preserve">• Keine Schmierung</w:t>
      </w:r>
    </w:p>
    <w:p w:rsidR="00000000" w:rsidDel="00000000" w:rsidP="00000000" w:rsidRDefault="00000000" w:rsidRPr="00000000" w14:paraId="0000000C">
      <w:pPr>
        <w:spacing w:after="120" w:line="360" w:lineRule="auto"/>
        <w:contextualSpacing w:val="0"/>
        <w:rPr>
          <w:sz w:val="20"/>
          <w:szCs w:val="20"/>
        </w:rPr>
      </w:pPr>
      <w:r w:rsidDel="00000000" w:rsidR="00000000" w:rsidRPr="00000000">
        <w:rPr>
          <w:sz w:val="20"/>
          <w:szCs w:val="20"/>
          <w:rtl w:val="0"/>
        </w:rPr>
        <w:t xml:space="preserve">• Weniger Lärm, leiserer Betrieb</w:t>
      </w:r>
    </w:p>
    <w:p w:rsidR="00000000" w:rsidDel="00000000" w:rsidP="00000000" w:rsidRDefault="00000000" w:rsidRPr="00000000" w14:paraId="0000000D">
      <w:pPr>
        <w:spacing w:after="120" w:line="360" w:lineRule="auto"/>
        <w:contextualSpacing w:val="0"/>
        <w:rPr>
          <w:sz w:val="20"/>
          <w:szCs w:val="20"/>
        </w:rPr>
      </w:pPr>
      <w:r w:rsidDel="00000000" w:rsidR="00000000" w:rsidRPr="00000000">
        <w:rPr>
          <w:sz w:val="20"/>
          <w:szCs w:val="20"/>
          <w:rtl w:val="0"/>
        </w:rPr>
        <w:t xml:space="preserve">• Einsparung von Perma-Komponenten und den damit verbundenen Kosten, wie zusätzliche Leitungen, SPS Programmierung</w:t>
      </w:r>
    </w:p>
    <w:p w:rsidR="00000000" w:rsidDel="00000000" w:rsidP="00000000" w:rsidRDefault="00000000" w:rsidRPr="00000000" w14:paraId="0000000E">
      <w:pPr>
        <w:spacing w:after="120" w:line="360" w:lineRule="auto"/>
        <w:contextualSpacing w:val="0"/>
        <w:rPr>
          <w:sz w:val="20"/>
          <w:szCs w:val="20"/>
        </w:rPr>
      </w:pPr>
      <w:r w:rsidDel="00000000" w:rsidR="00000000" w:rsidRPr="00000000">
        <w:rPr>
          <w:sz w:val="20"/>
          <w:szCs w:val="20"/>
          <w:rtl w:val="0"/>
        </w:rPr>
        <w:t xml:space="preserve">• Vereinfachte Montage des Riemens durch Pin Joint</w:t>
      </w:r>
    </w:p>
    <w:p w:rsidR="00000000" w:rsidDel="00000000" w:rsidP="00000000" w:rsidRDefault="00000000" w:rsidRPr="00000000" w14:paraId="0000000F">
      <w:pPr>
        <w:spacing w:after="120" w:line="360" w:lineRule="auto"/>
        <w:contextualSpacing w:val="0"/>
        <w:rPr>
          <w:sz w:val="20"/>
          <w:szCs w:val="20"/>
        </w:rPr>
      </w:pPr>
      <w:r w:rsidDel="00000000" w:rsidR="00000000" w:rsidRPr="00000000">
        <w:rPr>
          <w:sz w:val="20"/>
          <w:szCs w:val="20"/>
          <w:rtl w:val="0"/>
        </w:rPr>
        <w:t xml:space="preserve">• Insgesamt sauberere Lösung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pBdr>
          <w:bottom w:color="000000" w:space="1" w:sz="4" w:val="single"/>
        </w:pBdr>
        <w:spacing w:after="240" w:lineRule="auto"/>
        <w:contextualSpacing w:val="0"/>
        <w:jc w:val="both"/>
        <w:rPr/>
      </w:pPr>
      <w:bookmarkStart w:colFirst="0" w:colLast="0" w:name="_gjdgxs" w:id="0"/>
      <w:bookmarkEnd w:id="0"/>
      <w:r w:rsidDel="00000000" w:rsidR="00000000" w:rsidRPr="00000000">
        <w:rPr>
          <w:rtl w:val="0"/>
        </w:rPr>
      </w:r>
    </w:p>
    <w:p w:rsidR="00000000" w:rsidDel="00000000" w:rsidP="00000000" w:rsidRDefault="00000000" w:rsidRPr="00000000" w14:paraId="00000012">
      <w:pPr>
        <w:spacing w:after="240" w:lineRule="auto"/>
        <w:contextualSpacing w:val="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13">
      <w:pPr>
        <w:contextualSpacing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Ansprechpartner:</w:t>
      </w:r>
    </w:p>
    <w:p w:rsidR="00000000" w:rsidDel="00000000" w:rsidP="00000000" w:rsidRDefault="00000000" w:rsidRPr="00000000" w14:paraId="00000014">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TÜNKERS Maschinenbau GmbH</w:t>
      </w:r>
    </w:p>
    <w:p w:rsidR="00000000" w:rsidDel="00000000" w:rsidP="00000000" w:rsidRDefault="00000000" w:rsidRPr="00000000" w14:paraId="00000015">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Herr Kai Mönkediek</w:t>
      </w:r>
    </w:p>
    <w:p w:rsidR="00000000" w:rsidDel="00000000" w:rsidP="00000000" w:rsidRDefault="00000000" w:rsidRPr="00000000" w14:paraId="00000016">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Am Rosenkothen 4-12</w:t>
      </w:r>
    </w:p>
    <w:p w:rsidR="00000000" w:rsidDel="00000000" w:rsidP="00000000" w:rsidRDefault="00000000" w:rsidRPr="00000000" w14:paraId="00000017">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40880 Ratingen</w:t>
      </w:r>
    </w:p>
    <w:p w:rsidR="00000000" w:rsidDel="00000000" w:rsidP="00000000" w:rsidRDefault="00000000" w:rsidRPr="00000000" w14:paraId="00000018">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Telefon +49 (0) 0162-131 18 96</w:t>
      </w:r>
    </w:p>
    <w:p w:rsidR="00000000" w:rsidDel="00000000" w:rsidP="00000000" w:rsidRDefault="00000000" w:rsidRPr="00000000" w14:paraId="00000019">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Telefax +49 (0) 2102-45 17-9999</w:t>
      </w:r>
    </w:p>
    <w:p w:rsidR="00000000" w:rsidDel="00000000" w:rsidP="00000000" w:rsidRDefault="00000000" w:rsidRPr="00000000" w14:paraId="0000001A">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E-Mail kai.moenkediek@tuenkers.de</w:t>
      </w:r>
    </w:p>
    <w:p w:rsidR="00000000" w:rsidDel="00000000" w:rsidP="00000000" w:rsidRDefault="00000000" w:rsidRPr="00000000" w14:paraId="0000001B">
      <w:pPr>
        <w:contextualSpacing w:val="0"/>
        <w:rPr>
          <w:rFonts w:ascii="Calibri" w:cs="Calibri" w:eastAsia="Calibri" w:hAnsi="Calibri"/>
          <w:sz w:val="18"/>
          <w:szCs w:val="18"/>
        </w:rPr>
      </w:pPr>
      <w:hyperlink r:id="rId6">
        <w:r w:rsidDel="00000000" w:rsidR="00000000" w:rsidRPr="00000000">
          <w:rPr>
            <w:rFonts w:ascii="Calibri" w:cs="Calibri" w:eastAsia="Calibri" w:hAnsi="Calibri"/>
            <w:color w:val="000000"/>
            <w:sz w:val="18"/>
            <w:szCs w:val="18"/>
            <w:u w:val="single"/>
            <w:rtl w:val="0"/>
          </w:rPr>
          <w:t xml:space="preserve">www.tuenkers.de</w:t>
        </w:r>
      </w:hyperlink>
      <w:r w:rsidDel="00000000" w:rsidR="00000000" w:rsidRPr="00000000">
        <w:rPr>
          <w:rtl w:val="0"/>
        </w:rPr>
      </w:r>
    </w:p>
    <w:p w:rsidR="00000000" w:rsidDel="00000000" w:rsidP="00000000" w:rsidRDefault="00000000" w:rsidRPr="00000000" w14:paraId="0000001C">
      <w:pPr>
        <w:contextualSpacing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D">
      <w:pPr>
        <w:contextualSpacing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E">
      <w:pPr>
        <w:contextualSpacing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F">
      <w:pPr>
        <w:contextualSpacing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0">
      <w:pPr>
        <w:contextualSpacing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1">
      <w:pPr>
        <w:contextualSpacing w:val="0"/>
        <w:jc w:val="both"/>
        <w:rPr>
          <w:rFonts w:ascii="Calibri" w:cs="Calibri" w:eastAsia="Calibri" w:hAnsi="Calibri"/>
          <w:sz w:val="18"/>
          <w:szCs w:val="18"/>
        </w:rPr>
      </w:pPr>
      <w:r w:rsidDel="00000000" w:rsidR="00000000" w:rsidRPr="00000000">
        <w:rPr>
          <w:rFonts w:ascii="Calibri" w:cs="Calibri" w:eastAsia="Calibri" w:hAnsi="Calibri"/>
          <w:sz w:val="18"/>
          <w:szCs w:val="18"/>
        </w:rPr>
        <w:drawing>
          <wp:inline distB="0" distT="0" distL="0" distR="0">
            <wp:extent cx="5756275" cy="3837305"/>
            <wp:effectExtent b="0" l="0" r="0" t="0"/>
            <wp:docPr descr="004_zahnriemen%20ersetzt%20kette_18_09_17.jpg" id="1" name="image3.jpg"/>
            <a:graphic>
              <a:graphicData uri="http://schemas.openxmlformats.org/drawingml/2006/picture">
                <pic:pic>
                  <pic:nvPicPr>
                    <pic:cNvPr descr="004_zahnriemen%20ersetzt%20kette_18_09_17.jpg" id="0" name="image3.jpg"/>
                    <pic:cNvPicPr preferRelativeResize="0"/>
                  </pic:nvPicPr>
                  <pic:blipFill>
                    <a:blip r:embed="rId7"/>
                    <a:srcRect b="0" l="0" r="0" t="0"/>
                    <a:stretch>
                      <a:fillRect/>
                    </a:stretch>
                  </pic:blipFill>
                  <pic:spPr>
                    <a:xfrm>
                      <a:off x="0" y="0"/>
                      <a:ext cx="5756275" cy="3837305"/>
                    </a:xfrm>
                    <a:prstGeom prst="rect"/>
                    <a:ln/>
                  </pic:spPr>
                </pic:pic>
              </a:graphicData>
            </a:graphic>
          </wp:inline>
        </w:drawing>
      </w:r>
      <w:r w:rsidDel="00000000" w:rsidR="00000000" w:rsidRPr="00000000">
        <w:rPr>
          <w:rtl w:val="0"/>
        </w:rPr>
      </w:r>
    </w:p>
    <w:sectPr>
      <w:headerReference r:id="rId8" w:type="default"/>
      <w:pgSz w:h="16838" w:w="11906"/>
      <w:pgMar w:bottom="1134" w:top="2458"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2" name="image4.png"/>
          <a:graphic>
            <a:graphicData uri="http://schemas.openxmlformats.org/drawingml/2006/picture">
              <pic:pic>
                <pic:nvPicPr>
                  <pic:cNvPr descr="TUÌˆNKERS-Logo-dtsch-cmyk-01" id="0" name="image4.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3940" cy="276225"/>
              <wp:effectExtent b="0" l="0" r="0" t="0"/>
              <wp:wrapNone/>
              <wp:docPr id="3" name=""/>
              <a:graphic>
                <a:graphicData uri="http://schemas.microsoft.com/office/word/2010/wordprocessingShape">
                  <wps:wsp>
                    <wps:cNvSpPr/>
                    <wps:cNvPr id="2" name="Shape 2"/>
                    <wps:spPr>
                      <a:xfrm>
                        <a:off x="4193793" y="3646650"/>
                        <a:ext cx="2304415" cy="266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3940" cy="276225"/>
              <wp:effectExtent b="0" l="0" r="0" t="0"/>
              <wp:wrapNone/>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313940" cy="2762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uenkers.de" TargetMode="External"/><Relationship Id="rId7" Type="http://schemas.openxmlformats.org/officeDocument/2006/relationships/image" Target="media/image3.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